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7B" w:rsidRDefault="002C687B" w:rsidP="00410D61">
      <w:pPr>
        <w:pStyle w:val="NoSpacing"/>
        <w:jc w:val="both"/>
      </w:pPr>
    </w:p>
    <w:p w:rsidR="00BF3C6A" w:rsidRDefault="00410D61" w:rsidP="00410D6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C6A" w:rsidRPr="00BD31CE" w:rsidRDefault="00BF3C6A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Board Meeting</w:t>
      </w:r>
    </w:p>
    <w:p w:rsidR="00BF3C6A" w:rsidRPr="00BD31CE" w:rsidRDefault="00F35ABF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F35A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2023</w:t>
      </w:r>
    </w:p>
    <w:p w:rsidR="00BF3C6A" w:rsidRPr="00BD31CE" w:rsidRDefault="00BD31CE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35ABF">
        <w:rPr>
          <w:rFonts w:ascii="Arial" w:hAnsi="Arial" w:cs="Arial"/>
          <w:sz w:val="24"/>
          <w:szCs w:val="24"/>
        </w:rPr>
        <w:t>.30</w:t>
      </w:r>
      <w:r w:rsidR="00BF3C6A" w:rsidRPr="00BD31CE">
        <w:rPr>
          <w:rFonts w:ascii="Arial" w:hAnsi="Arial" w:cs="Arial"/>
          <w:sz w:val="24"/>
          <w:szCs w:val="24"/>
        </w:rPr>
        <w:t>am</w:t>
      </w:r>
    </w:p>
    <w:p w:rsidR="00BF3C6A" w:rsidRPr="00BD31CE" w:rsidRDefault="00F35ABF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Corran Halls, Oban</w:t>
      </w:r>
    </w:p>
    <w:p w:rsidR="00BF3C6A" w:rsidRPr="00BD31CE" w:rsidRDefault="00BF3C6A" w:rsidP="00BF3C6A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410D61" w:rsidRDefault="00BF3C6A" w:rsidP="00F35ABF">
      <w:pPr>
        <w:pStyle w:val="NoSpacing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Present</w:t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983292" w:rsidRPr="00BD31CE">
        <w:rPr>
          <w:rFonts w:ascii="Arial" w:hAnsi="Arial" w:cs="Arial"/>
          <w:sz w:val="24"/>
          <w:szCs w:val="24"/>
        </w:rPr>
        <w:t>Andrew Nisbet</w:t>
      </w:r>
      <w:r w:rsidR="00CE0C0F" w:rsidRPr="00BD31CE">
        <w:rPr>
          <w:rFonts w:ascii="Arial" w:hAnsi="Arial" w:cs="Arial"/>
          <w:sz w:val="24"/>
          <w:szCs w:val="24"/>
        </w:rPr>
        <w:t>, Chair</w:t>
      </w:r>
    </w:p>
    <w:p w:rsidR="00410D61" w:rsidRDefault="00F35ABF" w:rsidP="00F35AB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233145">
        <w:rPr>
          <w:rFonts w:ascii="Arial" w:hAnsi="Arial" w:cs="Arial"/>
          <w:sz w:val="24"/>
          <w:szCs w:val="24"/>
        </w:rPr>
        <w:t>Mairi Coleman</w:t>
      </w:r>
      <w:r>
        <w:rPr>
          <w:rFonts w:ascii="Arial" w:hAnsi="Arial" w:cs="Arial"/>
          <w:sz w:val="24"/>
          <w:szCs w:val="24"/>
        </w:rPr>
        <w:t>, Vice Chair</w:t>
      </w:r>
    </w:p>
    <w:p w:rsidR="00410D61" w:rsidRPr="00BD31CE" w:rsidRDefault="008D7018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0D61" w:rsidRPr="00BD31CE">
        <w:rPr>
          <w:rFonts w:ascii="Arial" w:hAnsi="Arial" w:cs="Arial"/>
          <w:sz w:val="24"/>
          <w:szCs w:val="24"/>
        </w:rPr>
        <w:t xml:space="preserve">Kevin Anderson, </w:t>
      </w:r>
      <w:r w:rsidR="00F35ABF">
        <w:rPr>
          <w:rFonts w:ascii="Arial" w:hAnsi="Arial" w:cs="Arial"/>
          <w:sz w:val="24"/>
          <w:szCs w:val="24"/>
        </w:rPr>
        <w:t>Chief Officer</w:t>
      </w:r>
    </w:p>
    <w:p w:rsidR="00410D61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F35ABF">
        <w:rPr>
          <w:rFonts w:ascii="Arial" w:hAnsi="Arial" w:cs="Arial"/>
          <w:sz w:val="24"/>
          <w:szCs w:val="24"/>
        </w:rPr>
        <w:t>Diane McMillan</w:t>
      </w:r>
      <w:r w:rsidRPr="00BD31CE">
        <w:rPr>
          <w:rFonts w:ascii="Arial" w:hAnsi="Arial" w:cs="Arial"/>
          <w:sz w:val="24"/>
          <w:szCs w:val="24"/>
        </w:rPr>
        <w:t xml:space="preserve">, Business </w:t>
      </w:r>
      <w:r w:rsidR="00F35ABF">
        <w:rPr>
          <w:rFonts w:ascii="Arial" w:hAnsi="Arial" w:cs="Arial"/>
          <w:sz w:val="24"/>
          <w:szCs w:val="24"/>
        </w:rPr>
        <w:t>Support</w:t>
      </w:r>
      <w:r w:rsidRPr="00BD31CE">
        <w:rPr>
          <w:rFonts w:ascii="Arial" w:hAnsi="Arial" w:cs="Arial"/>
          <w:sz w:val="24"/>
          <w:szCs w:val="24"/>
        </w:rPr>
        <w:t xml:space="preserve"> Manager</w:t>
      </w:r>
    </w:p>
    <w:p w:rsidR="00886603" w:rsidRDefault="00886603" w:rsidP="00886603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Lorna Whyte, Area Operations Manager</w:t>
      </w:r>
    </w:p>
    <w:p w:rsidR="00F35ABF" w:rsidRDefault="00F35ABF" w:rsidP="00886603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Maurice Corry</w:t>
      </w:r>
    </w:p>
    <w:p w:rsidR="00F35ABF" w:rsidRDefault="00F35ABF" w:rsidP="00886603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Ashworth, Commercial Manager</w:t>
      </w:r>
    </w:p>
    <w:p w:rsidR="00F35ABF" w:rsidRDefault="00F35ABF" w:rsidP="00886603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 Edmonstone, AS &amp; CL Manager</w:t>
      </w:r>
    </w:p>
    <w:p w:rsidR="00F35ABF" w:rsidRDefault="00F35ABF" w:rsidP="00F35A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Joined by Skype</w:t>
      </w:r>
    </w:p>
    <w:p w:rsidR="009A5D10" w:rsidRDefault="00886603" w:rsidP="0019389F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Watt</w:t>
      </w:r>
      <w:r w:rsidR="00350D7A">
        <w:rPr>
          <w:rFonts w:ascii="Arial" w:hAnsi="Arial" w:cs="Arial"/>
          <w:sz w:val="24"/>
          <w:szCs w:val="24"/>
        </w:rPr>
        <w:t>, Trade Union Representative</w:t>
      </w:r>
    </w:p>
    <w:p w:rsidR="00D66594" w:rsidRDefault="00F35ABF" w:rsidP="0019389F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William Sinclair</w:t>
      </w:r>
    </w:p>
    <w:p w:rsidR="00F35ABF" w:rsidRPr="00BD31CE" w:rsidRDefault="00F35ABF" w:rsidP="0019389F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Ian MacQuire</w:t>
      </w:r>
    </w:p>
    <w:p w:rsidR="00BF3C6A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</w:p>
    <w:p w:rsidR="00E32C3A" w:rsidRDefault="00E32C3A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32C3A" w:rsidRDefault="00E32C3A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32C3A" w:rsidRPr="00BD31CE" w:rsidRDefault="00E32C3A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704"/>
        <w:gridCol w:w="8334"/>
      </w:tblGrid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BF3C6A" w:rsidRPr="00BD31CE" w:rsidTr="00233145">
        <w:trPr>
          <w:trHeight w:val="632"/>
        </w:trPr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:rsidR="007A4EF5" w:rsidRDefault="00F35ABF" w:rsidP="00BD31C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took place around Board Member attendance and roles.  Clarification of employee rep’s role will be discussed outside of Board Meeting.</w:t>
            </w:r>
          </w:p>
          <w:p w:rsidR="00BF3C6A" w:rsidRPr="00BD31CE" w:rsidRDefault="00F71F9C" w:rsidP="0088660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/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Any Other Competent Business to be Considered at end of Meeting</w:t>
            </w:r>
          </w:p>
          <w:p w:rsidR="007A4EF5" w:rsidRDefault="00E32C3A" w:rsidP="00E32C3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Helensburgh Pool Staff Award</w:t>
            </w:r>
          </w:p>
          <w:p w:rsidR="00E32C3A" w:rsidRDefault="00E32C3A" w:rsidP="00E32C3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Battle of Atlantic</w:t>
            </w:r>
          </w:p>
          <w:p w:rsidR="00E32C3A" w:rsidRPr="00BD31CE" w:rsidRDefault="00E32C3A" w:rsidP="00E32C3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:rsidR="007A4EF5" w:rsidRPr="00350D7A" w:rsidRDefault="00E32C3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Mairi declared that her company, MacLeod Construction, is the named contractor for Council maintenance works which includes liveArgyll facilities.</w:t>
            </w:r>
          </w:p>
          <w:p w:rsidR="00350D7A" w:rsidRPr="00BD31CE" w:rsidRDefault="00350D7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C6A" w:rsidRPr="00BD31CE" w:rsidTr="00E32C3A">
        <w:trPr>
          <w:trHeight w:val="861"/>
        </w:trPr>
        <w:tc>
          <w:tcPr>
            <w:tcW w:w="704" w:type="dxa"/>
          </w:tcPr>
          <w:p w:rsidR="00BF3C6A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4.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2D4D" w:rsidRPr="00BD31CE" w:rsidRDefault="004E2D4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4" w:type="dxa"/>
          </w:tcPr>
          <w:p w:rsidR="004E2D4D" w:rsidRDefault="008A293F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p</w:t>
            </w:r>
            <w:r w:rsidR="004E2D4D">
              <w:rPr>
                <w:rFonts w:ascii="Arial" w:hAnsi="Arial" w:cs="Arial"/>
                <w:b/>
                <w:sz w:val="24"/>
                <w:szCs w:val="24"/>
              </w:rPr>
              <w:t xml:space="preserve">revious meeting </w:t>
            </w:r>
            <w:r w:rsidR="00E32C3A">
              <w:rPr>
                <w:rFonts w:ascii="Arial" w:hAnsi="Arial" w:cs="Arial"/>
                <w:b/>
                <w:sz w:val="24"/>
                <w:szCs w:val="24"/>
              </w:rPr>
              <w:t>08.12</w:t>
            </w:r>
            <w:r w:rsidR="007A4EF5"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  <w:p w:rsidR="00350D7A" w:rsidRPr="00350D7A" w:rsidRDefault="00E32C3A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were agreed and proposed by Mairi, seconded by Maurice.</w:t>
            </w:r>
          </w:p>
        </w:tc>
      </w:tr>
      <w:tr w:rsidR="0069646F" w:rsidRPr="00BD31CE" w:rsidTr="00875D84">
        <w:trPr>
          <w:trHeight w:val="841"/>
        </w:trPr>
        <w:tc>
          <w:tcPr>
            <w:tcW w:w="704" w:type="dxa"/>
          </w:tcPr>
          <w:p w:rsidR="0069646F" w:rsidRPr="00BD31CE" w:rsidRDefault="0069646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34" w:type="dxa"/>
          </w:tcPr>
          <w:p w:rsidR="0069646F" w:rsidRDefault="00E32C3A" w:rsidP="0069646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and Performance Sub Committee 19.01.2023</w:t>
            </w:r>
          </w:p>
          <w:p w:rsidR="00F71F9C" w:rsidRPr="00740B56" w:rsidRDefault="00F71F9C" w:rsidP="00F71F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875D84" w:rsidRPr="00875D84" w:rsidRDefault="00875D84" w:rsidP="00875D84"/>
        </w:tc>
      </w:tr>
      <w:tr w:rsidR="00BF3C6A" w:rsidRPr="00BD31CE" w:rsidTr="00875D84">
        <w:tc>
          <w:tcPr>
            <w:tcW w:w="704" w:type="dxa"/>
          </w:tcPr>
          <w:p w:rsidR="00BF3C6A" w:rsidRPr="00BD31CE" w:rsidRDefault="002C687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F3C6A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875D84" w:rsidRDefault="007A4EF5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  <w:r w:rsidR="00E32C3A">
              <w:rPr>
                <w:rFonts w:ascii="Arial" w:hAnsi="Arial" w:cs="Arial"/>
                <w:b/>
                <w:sz w:val="24"/>
                <w:szCs w:val="24"/>
              </w:rPr>
              <w:t xml:space="preserve"> Update</w:t>
            </w:r>
          </w:p>
          <w:p w:rsidR="00F71F9C" w:rsidRPr="00740B56" w:rsidRDefault="00F71F9C" w:rsidP="00F71F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BD31CE" w:rsidRPr="00BD31CE" w:rsidRDefault="00BD31CE" w:rsidP="00F71F9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875D84">
        <w:tc>
          <w:tcPr>
            <w:tcW w:w="704" w:type="dxa"/>
          </w:tcPr>
          <w:p w:rsidR="00377D18" w:rsidRPr="00BD31CE" w:rsidRDefault="002C687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34" w:type="dxa"/>
          </w:tcPr>
          <w:p w:rsidR="002C687B" w:rsidRDefault="00906E3E" w:rsidP="00391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Outlook 23/24</w:t>
            </w:r>
          </w:p>
          <w:p w:rsidR="00F71F9C" w:rsidRPr="00740B56" w:rsidRDefault="00F71F9C" w:rsidP="00F71F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E860C0" w:rsidRPr="00BD31CE" w:rsidRDefault="00E860C0" w:rsidP="007A4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875D84">
        <w:trPr>
          <w:trHeight w:val="1603"/>
        </w:trPr>
        <w:tc>
          <w:tcPr>
            <w:tcW w:w="704" w:type="dxa"/>
          </w:tcPr>
          <w:p w:rsidR="00377D18" w:rsidRPr="00BD31CE" w:rsidRDefault="00D10CC5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069A4" w:rsidRPr="00BD31C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D10CC5" w:rsidRDefault="00553FED" w:rsidP="002A3CF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Priorities and Proposals for Change</w:t>
            </w:r>
          </w:p>
          <w:p w:rsidR="00F71F9C" w:rsidRPr="00740B56" w:rsidRDefault="00F71F9C" w:rsidP="00F71F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0C7C47" w:rsidRPr="001E13D7" w:rsidRDefault="000C7C47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F39" w:rsidRPr="00BD31CE" w:rsidTr="00875D84">
        <w:trPr>
          <w:trHeight w:val="611"/>
        </w:trPr>
        <w:tc>
          <w:tcPr>
            <w:tcW w:w="704" w:type="dxa"/>
          </w:tcPr>
          <w:p w:rsidR="00CB0F39" w:rsidRPr="00BD31CE" w:rsidRDefault="00553FE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334" w:type="dxa"/>
          </w:tcPr>
          <w:p w:rsidR="00D23AB1" w:rsidRDefault="00553FED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Scorecard</w:t>
            </w:r>
          </w:p>
          <w:p w:rsidR="00D66594" w:rsidRDefault="00553FE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ran through the detail of the scorecard.</w:t>
            </w:r>
          </w:p>
          <w:p w:rsidR="00D66594" w:rsidRDefault="00553FE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explained next steps for drilling down to team level and reviewing data.</w:t>
            </w:r>
          </w:p>
          <w:p w:rsidR="00D66594" w:rsidRPr="00D66594" w:rsidRDefault="00D6659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D66594" w:rsidRDefault="00D6659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were asked to note the content of the report</w:t>
            </w:r>
            <w:r w:rsidR="004C0C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6594" w:rsidRPr="00D66594" w:rsidRDefault="00D6659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D66594" w:rsidRDefault="00D6659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board </w:t>
            </w:r>
            <w:r w:rsidR="004C0CE2">
              <w:rPr>
                <w:rFonts w:ascii="Arial" w:hAnsi="Arial" w:cs="Arial"/>
                <w:sz w:val="24"/>
                <w:szCs w:val="24"/>
              </w:rPr>
              <w:t>noted the content of the report.</w:t>
            </w:r>
          </w:p>
          <w:p w:rsidR="008279B5" w:rsidRPr="00BD31CE" w:rsidRDefault="008279B5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0B" w:rsidRPr="00BD31CE" w:rsidTr="00875D84">
        <w:trPr>
          <w:trHeight w:val="611"/>
        </w:trPr>
        <w:tc>
          <w:tcPr>
            <w:tcW w:w="704" w:type="dxa"/>
          </w:tcPr>
          <w:p w:rsidR="0048130B" w:rsidRPr="00BD31CE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130B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A90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48130B" w:rsidRDefault="00553FED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Dunoon  Business Improvement District</w:t>
            </w:r>
          </w:p>
          <w:p w:rsidR="00D66594" w:rsidRDefault="00553FED" w:rsidP="00886A9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explained the changes of the exemption criteria put in place by Dunoon BID.  Kevin has met with the chair of the group to explain our situation and position.</w:t>
            </w:r>
            <w:r w:rsidR="004C0CE2">
              <w:rPr>
                <w:rFonts w:ascii="Arial" w:hAnsi="Arial" w:cs="Arial"/>
                <w:sz w:val="24"/>
                <w:szCs w:val="24"/>
              </w:rPr>
              <w:t xml:space="preserve">  Cost pressures need to be taken into account</w:t>
            </w:r>
          </w:p>
          <w:p w:rsidR="00D66594" w:rsidRPr="00D66594" w:rsidRDefault="00D6659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D66594" w:rsidRDefault="00D6659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were asked to note the content of the report</w:t>
            </w:r>
            <w:r w:rsidR="004C0CE2">
              <w:rPr>
                <w:rFonts w:ascii="Arial" w:hAnsi="Arial" w:cs="Arial"/>
                <w:sz w:val="24"/>
                <w:szCs w:val="24"/>
              </w:rPr>
              <w:t xml:space="preserve"> and agreed to vote NO</w:t>
            </w:r>
          </w:p>
          <w:p w:rsidR="00D66594" w:rsidRPr="00D66594" w:rsidRDefault="00D6659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4C0CE2" w:rsidRDefault="004C0CE2" w:rsidP="004C0CE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noted the content of the report and agreed to vote NO</w:t>
            </w:r>
          </w:p>
          <w:p w:rsidR="00886A9C" w:rsidRPr="0004178F" w:rsidRDefault="004C0CE2" w:rsidP="00886A9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will meet again with the chair to explain our position </w:t>
            </w:r>
          </w:p>
        </w:tc>
      </w:tr>
      <w:tr w:rsidR="00C0459B" w:rsidRPr="00BD31CE" w:rsidTr="00875D84">
        <w:trPr>
          <w:trHeight w:val="501"/>
        </w:trPr>
        <w:tc>
          <w:tcPr>
            <w:tcW w:w="704" w:type="dxa"/>
          </w:tcPr>
          <w:p w:rsidR="00C0459B" w:rsidRPr="00BD31CE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16523" w:rsidRPr="00BD3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:rsidR="00797944" w:rsidRDefault="004C0CE2" w:rsidP="00BD16D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Risk Register</w:t>
            </w:r>
          </w:p>
          <w:p w:rsidR="004C0CE2" w:rsidRDefault="004C0CE2" w:rsidP="00BD16DF">
            <w:pPr>
              <w:pStyle w:val="Default"/>
              <w:jc w:val="both"/>
            </w:pPr>
            <w:r>
              <w:t xml:space="preserve">Diane advised the board on changes to the risk register. </w:t>
            </w:r>
          </w:p>
          <w:p w:rsidR="004C0CE2" w:rsidRPr="004C0CE2" w:rsidRDefault="004C0CE2" w:rsidP="00BD16DF">
            <w:pPr>
              <w:pStyle w:val="Default"/>
              <w:jc w:val="both"/>
              <w:rPr>
                <w:b/>
              </w:rPr>
            </w:pPr>
            <w:r w:rsidRPr="004C0CE2">
              <w:rPr>
                <w:b/>
              </w:rPr>
              <w:t xml:space="preserve">Motion </w:t>
            </w:r>
          </w:p>
          <w:p w:rsidR="004C0CE2" w:rsidRDefault="004C0CE2" w:rsidP="00BD16DF">
            <w:pPr>
              <w:pStyle w:val="Default"/>
              <w:jc w:val="both"/>
            </w:pPr>
            <w:r>
              <w:t xml:space="preserve">The board were asked to note the content of the report. </w:t>
            </w:r>
          </w:p>
          <w:p w:rsidR="004C0CE2" w:rsidRDefault="004C0CE2" w:rsidP="00BD16DF">
            <w:pPr>
              <w:pStyle w:val="Default"/>
              <w:jc w:val="both"/>
            </w:pPr>
            <w:r w:rsidRPr="004C0CE2">
              <w:rPr>
                <w:b/>
              </w:rPr>
              <w:t>Decision</w:t>
            </w:r>
            <w:r>
              <w:t xml:space="preserve"> </w:t>
            </w:r>
          </w:p>
          <w:p w:rsidR="004C0CE2" w:rsidRDefault="004C0CE2" w:rsidP="00BD16DF">
            <w:pPr>
              <w:pStyle w:val="Default"/>
              <w:jc w:val="both"/>
              <w:rPr>
                <w:b/>
              </w:rPr>
            </w:pPr>
            <w:r>
              <w:t>The board noted the content of the report.</w:t>
            </w:r>
          </w:p>
          <w:p w:rsidR="00A16523" w:rsidRPr="00BD31CE" w:rsidRDefault="00A16523" w:rsidP="004C0CE2">
            <w:pPr>
              <w:pStyle w:val="Default"/>
              <w:jc w:val="both"/>
            </w:pPr>
          </w:p>
        </w:tc>
      </w:tr>
      <w:tr w:rsidR="004C0CE2" w:rsidTr="00875D84">
        <w:trPr>
          <w:trHeight w:val="501"/>
        </w:trPr>
        <w:tc>
          <w:tcPr>
            <w:tcW w:w="704" w:type="dxa"/>
          </w:tcPr>
          <w:p w:rsidR="004C0CE2" w:rsidRDefault="004C0CE2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334" w:type="dxa"/>
          </w:tcPr>
          <w:p w:rsidR="004C0CE2" w:rsidRDefault="004C0CE2" w:rsidP="004C0CE2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Licence Extract Review</w:t>
            </w:r>
          </w:p>
          <w:p w:rsidR="004C0CE2" w:rsidRDefault="004C0CE2" w:rsidP="004C0CE2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 w:rsidRPr="004C0CE2">
              <w:rPr>
                <w:rFonts w:ascii="Arial" w:hAnsi="Arial" w:cs="Arial"/>
                <w:sz w:val="24"/>
                <w:szCs w:val="24"/>
              </w:rPr>
              <w:t xml:space="preserve">Diane gave an overview </w:t>
            </w:r>
            <w:r w:rsidRPr="004C0CE2">
              <w:rPr>
                <w:rFonts w:ascii="Arial" w:hAnsi="Arial" w:cs="Arial"/>
                <w:sz w:val="24"/>
              </w:rPr>
              <w:t>of extracts from the Licence Agreement relating to repairs, utilities and restricted activities to refresh Board members of the detail and both parties responsibilities within the Agreement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4C0CE2" w:rsidRPr="004C0CE2" w:rsidRDefault="004C0CE2" w:rsidP="004C0CE2">
            <w:pPr>
              <w:pStyle w:val="Default"/>
              <w:jc w:val="both"/>
              <w:rPr>
                <w:b/>
              </w:rPr>
            </w:pPr>
            <w:r w:rsidRPr="004C0CE2">
              <w:rPr>
                <w:b/>
              </w:rPr>
              <w:t xml:space="preserve">Motion </w:t>
            </w:r>
          </w:p>
          <w:p w:rsidR="004C0CE2" w:rsidRDefault="004C0CE2" w:rsidP="004C0CE2">
            <w:pPr>
              <w:pStyle w:val="Default"/>
              <w:jc w:val="both"/>
            </w:pPr>
            <w:r>
              <w:t xml:space="preserve">The board were asked to note the content of the report. </w:t>
            </w:r>
          </w:p>
          <w:p w:rsidR="004C0CE2" w:rsidRDefault="004C0CE2" w:rsidP="004C0CE2">
            <w:pPr>
              <w:pStyle w:val="Default"/>
              <w:jc w:val="both"/>
            </w:pPr>
            <w:r w:rsidRPr="004C0CE2">
              <w:rPr>
                <w:b/>
              </w:rPr>
              <w:t>Decision</w:t>
            </w:r>
            <w:r>
              <w:t xml:space="preserve"> </w:t>
            </w:r>
          </w:p>
          <w:p w:rsidR="004C0CE2" w:rsidRDefault="004C0CE2" w:rsidP="004C0CE2">
            <w:pPr>
              <w:pStyle w:val="Default"/>
              <w:jc w:val="both"/>
              <w:rPr>
                <w:b/>
              </w:rPr>
            </w:pPr>
            <w:r>
              <w:t>The board noted the content of the report.</w:t>
            </w:r>
          </w:p>
          <w:p w:rsidR="004C0CE2" w:rsidRDefault="004C0CE2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CE2" w:rsidTr="00875D84">
        <w:trPr>
          <w:trHeight w:val="501"/>
        </w:trPr>
        <w:tc>
          <w:tcPr>
            <w:tcW w:w="704" w:type="dxa"/>
          </w:tcPr>
          <w:p w:rsidR="004C0CE2" w:rsidRDefault="004C0CE2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334" w:type="dxa"/>
          </w:tcPr>
          <w:p w:rsidR="004C0CE2" w:rsidRDefault="004C0CE2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PAYG Pricing Review</w:t>
            </w:r>
          </w:p>
          <w:p w:rsidR="004C0CE2" w:rsidRDefault="004C0CE2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had on the detail of the pricing review </w:t>
            </w:r>
          </w:p>
          <w:p w:rsidR="004C0CE2" w:rsidRPr="004C0CE2" w:rsidRDefault="004C0CE2" w:rsidP="004C0CE2">
            <w:pPr>
              <w:pStyle w:val="Default"/>
              <w:jc w:val="both"/>
              <w:rPr>
                <w:b/>
              </w:rPr>
            </w:pPr>
            <w:r w:rsidRPr="004C0CE2">
              <w:rPr>
                <w:b/>
              </w:rPr>
              <w:t xml:space="preserve">Motion </w:t>
            </w:r>
          </w:p>
          <w:p w:rsidR="004C0CE2" w:rsidRDefault="004C0CE2" w:rsidP="004C0CE2">
            <w:pPr>
              <w:pStyle w:val="Default"/>
              <w:jc w:val="both"/>
            </w:pPr>
            <w:r>
              <w:t>The board were asked to note the content of the report and approve the proposed pricing schedule for 23-24</w:t>
            </w:r>
          </w:p>
          <w:p w:rsidR="004C0CE2" w:rsidRDefault="004C0CE2" w:rsidP="004C0CE2">
            <w:pPr>
              <w:pStyle w:val="Default"/>
              <w:jc w:val="both"/>
            </w:pPr>
            <w:r w:rsidRPr="004C0CE2">
              <w:rPr>
                <w:b/>
              </w:rPr>
              <w:t>Decision</w:t>
            </w:r>
            <w:r>
              <w:t xml:space="preserve"> </w:t>
            </w:r>
          </w:p>
          <w:p w:rsidR="004C0CE2" w:rsidRDefault="004C0CE2" w:rsidP="004C0CE2">
            <w:pPr>
              <w:pStyle w:val="Default"/>
              <w:jc w:val="both"/>
              <w:rPr>
                <w:b/>
              </w:rPr>
            </w:pPr>
            <w:r>
              <w:lastRenderedPageBreak/>
              <w:t>The board noted the content of the report and approved the new pricing schedule for 23-24</w:t>
            </w:r>
          </w:p>
          <w:p w:rsidR="004C0CE2" w:rsidRPr="004C0CE2" w:rsidRDefault="004C0CE2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CE2" w:rsidTr="00875D84">
        <w:trPr>
          <w:trHeight w:val="501"/>
        </w:trPr>
        <w:tc>
          <w:tcPr>
            <w:tcW w:w="704" w:type="dxa"/>
          </w:tcPr>
          <w:p w:rsidR="004C0CE2" w:rsidRDefault="004C0CE2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334" w:type="dxa"/>
          </w:tcPr>
          <w:p w:rsidR="004C0CE2" w:rsidRDefault="004C0CE2" w:rsidP="004C0CE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Schedule of Meeting Dates</w:t>
            </w:r>
          </w:p>
          <w:p w:rsidR="004C0CE2" w:rsidRPr="004C0CE2" w:rsidRDefault="004C0CE2" w:rsidP="004C0CE2">
            <w:pPr>
              <w:pStyle w:val="Default"/>
              <w:jc w:val="both"/>
            </w:pPr>
            <w:r>
              <w:t>Agreed to change the date of the next meeting.  Diane will arrange a new date.</w:t>
            </w:r>
          </w:p>
          <w:p w:rsidR="004C0CE2" w:rsidRDefault="004C0CE2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23" w:rsidTr="00875D84">
        <w:trPr>
          <w:trHeight w:val="501"/>
        </w:trPr>
        <w:tc>
          <w:tcPr>
            <w:tcW w:w="704" w:type="dxa"/>
          </w:tcPr>
          <w:p w:rsidR="00A16523" w:rsidRPr="006E6675" w:rsidRDefault="004C0CE2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16523" w:rsidRPr="006E66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:rsidR="003F000B" w:rsidRDefault="007A4EF5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AOCB</w:t>
            </w:r>
          </w:p>
          <w:p w:rsidR="00F71F9C" w:rsidRPr="00740B56" w:rsidRDefault="00F71F9C" w:rsidP="00F71F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3F000B" w:rsidRPr="00D86AB1" w:rsidRDefault="003F000B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459B" w:rsidTr="00875D84">
        <w:trPr>
          <w:trHeight w:val="501"/>
        </w:trPr>
        <w:tc>
          <w:tcPr>
            <w:tcW w:w="704" w:type="dxa"/>
          </w:tcPr>
          <w:p w:rsidR="00C0459B" w:rsidRPr="006E6675" w:rsidRDefault="006B79F7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3B2BCB" w:rsidRPr="006E66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334" w:type="dxa"/>
          </w:tcPr>
          <w:p w:rsidR="00D86AB1" w:rsidRDefault="007A4EF5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7A4EF5" w:rsidRDefault="006B79F7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confirmed</w:t>
            </w:r>
          </w:p>
          <w:p w:rsidR="009D3EF0" w:rsidRPr="007A4EF5" w:rsidRDefault="009D3EF0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D61" w:rsidRDefault="00410D61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410D61" w:rsidRPr="00410D61" w:rsidRDefault="006B79F7" w:rsidP="006B79F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D61">
        <w:rPr>
          <w:sz w:val="24"/>
          <w:szCs w:val="24"/>
        </w:rPr>
        <w:tab/>
        <w:t xml:space="preserve"> </w:t>
      </w:r>
      <w:r w:rsidR="00DA2B9B">
        <w:rPr>
          <w:sz w:val="24"/>
          <w:szCs w:val="24"/>
        </w:rPr>
        <w:tab/>
      </w:r>
      <w:r w:rsidR="00DA2B9B">
        <w:rPr>
          <w:sz w:val="24"/>
          <w:szCs w:val="24"/>
        </w:rPr>
        <w:tab/>
      </w:r>
    </w:p>
    <w:sectPr w:rsidR="00410D61" w:rsidRPr="00410D61" w:rsidSect="00C21F8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75" w:rsidRDefault="001D4A75" w:rsidP="00410D61">
      <w:pPr>
        <w:spacing w:after="0" w:line="240" w:lineRule="auto"/>
      </w:pPr>
      <w:r>
        <w:separator/>
      </w:r>
    </w:p>
  </w:endnote>
  <w:endnote w:type="continuationSeparator" w:id="0">
    <w:p w:rsidR="001D4A75" w:rsidRDefault="001D4A75" w:rsidP="004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75" w:rsidRDefault="001D4A75" w:rsidP="00410D61">
      <w:pPr>
        <w:spacing w:after="0" w:line="240" w:lineRule="auto"/>
      </w:pPr>
      <w:r>
        <w:separator/>
      </w:r>
    </w:p>
  </w:footnote>
  <w:footnote w:type="continuationSeparator" w:id="0">
    <w:p w:rsidR="001D4A75" w:rsidRDefault="001D4A75" w:rsidP="004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410D61">
    <w:pPr>
      <w:pStyle w:val="Header"/>
      <w:ind w:firstLine="720"/>
    </w:pPr>
  </w:p>
  <w:p w:rsidR="00410D61" w:rsidRDefault="00410D61" w:rsidP="00410D61">
    <w:pPr>
      <w:pStyle w:val="Header"/>
      <w:ind w:firstLin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C21F86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A958790" wp14:editId="657E7687">
          <wp:extent cx="2395139" cy="971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Argyll Master Logo Colo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27" cy="9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AF"/>
    <w:multiLevelType w:val="hybridMultilevel"/>
    <w:tmpl w:val="0D4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46C"/>
    <w:multiLevelType w:val="hybridMultilevel"/>
    <w:tmpl w:val="58E0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1"/>
    <w:rsid w:val="0000381B"/>
    <w:rsid w:val="00020780"/>
    <w:rsid w:val="00032BDE"/>
    <w:rsid w:val="0004178F"/>
    <w:rsid w:val="00044B55"/>
    <w:rsid w:val="0006467E"/>
    <w:rsid w:val="000931DA"/>
    <w:rsid w:val="000C1001"/>
    <w:rsid w:val="000C7C47"/>
    <w:rsid w:val="001114FA"/>
    <w:rsid w:val="00116771"/>
    <w:rsid w:val="00126EB1"/>
    <w:rsid w:val="00137BD7"/>
    <w:rsid w:val="00172378"/>
    <w:rsid w:val="00187C5B"/>
    <w:rsid w:val="0019389F"/>
    <w:rsid w:val="0019512F"/>
    <w:rsid w:val="00195646"/>
    <w:rsid w:val="00197305"/>
    <w:rsid w:val="001A17CE"/>
    <w:rsid w:val="001D4A75"/>
    <w:rsid w:val="001E13D7"/>
    <w:rsid w:val="0020134F"/>
    <w:rsid w:val="00233145"/>
    <w:rsid w:val="002373CA"/>
    <w:rsid w:val="002700EE"/>
    <w:rsid w:val="002A3CF7"/>
    <w:rsid w:val="002B2EF1"/>
    <w:rsid w:val="002C687B"/>
    <w:rsid w:val="002E2A50"/>
    <w:rsid w:val="00350D7A"/>
    <w:rsid w:val="00357859"/>
    <w:rsid w:val="00377D18"/>
    <w:rsid w:val="003912A9"/>
    <w:rsid w:val="0039162E"/>
    <w:rsid w:val="003A36BC"/>
    <w:rsid w:val="003B2BCB"/>
    <w:rsid w:val="003B4256"/>
    <w:rsid w:val="003F000B"/>
    <w:rsid w:val="003F1571"/>
    <w:rsid w:val="00407D42"/>
    <w:rsid w:val="00410D61"/>
    <w:rsid w:val="00414E45"/>
    <w:rsid w:val="00437E73"/>
    <w:rsid w:val="0048130B"/>
    <w:rsid w:val="004A2CB3"/>
    <w:rsid w:val="004C0CE2"/>
    <w:rsid w:val="004D5A8D"/>
    <w:rsid w:val="004E2D4D"/>
    <w:rsid w:val="004E3884"/>
    <w:rsid w:val="004F533F"/>
    <w:rsid w:val="004F60E5"/>
    <w:rsid w:val="005028B1"/>
    <w:rsid w:val="005211B1"/>
    <w:rsid w:val="00553FED"/>
    <w:rsid w:val="005A19E4"/>
    <w:rsid w:val="005B06CD"/>
    <w:rsid w:val="005B4951"/>
    <w:rsid w:val="005B6123"/>
    <w:rsid w:val="005D2A6A"/>
    <w:rsid w:val="005E5EFF"/>
    <w:rsid w:val="005E67A7"/>
    <w:rsid w:val="005F36EB"/>
    <w:rsid w:val="00617A7D"/>
    <w:rsid w:val="006625EB"/>
    <w:rsid w:val="006732C3"/>
    <w:rsid w:val="0069646F"/>
    <w:rsid w:val="006B79F7"/>
    <w:rsid w:val="006E6675"/>
    <w:rsid w:val="00701B11"/>
    <w:rsid w:val="0074508C"/>
    <w:rsid w:val="00754D6D"/>
    <w:rsid w:val="00784CFC"/>
    <w:rsid w:val="00797944"/>
    <w:rsid w:val="007A4EF5"/>
    <w:rsid w:val="007E6A11"/>
    <w:rsid w:val="00806195"/>
    <w:rsid w:val="008279B5"/>
    <w:rsid w:val="00860763"/>
    <w:rsid w:val="00875D84"/>
    <w:rsid w:val="00886603"/>
    <w:rsid w:val="00886A9C"/>
    <w:rsid w:val="008A293F"/>
    <w:rsid w:val="008C3797"/>
    <w:rsid w:val="008D7018"/>
    <w:rsid w:val="008F353C"/>
    <w:rsid w:val="009029F7"/>
    <w:rsid w:val="00906E3E"/>
    <w:rsid w:val="0091768C"/>
    <w:rsid w:val="00925382"/>
    <w:rsid w:val="009335A5"/>
    <w:rsid w:val="00936488"/>
    <w:rsid w:val="009555F7"/>
    <w:rsid w:val="00983292"/>
    <w:rsid w:val="00987CB4"/>
    <w:rsid w:val="009A5D10"/>
    <w:rsid w:val="009C6203"/>
    <w:rsid w:val="009D085F"/>
    <w:rsid w:val="009D3EF0"/>
    <w:rsid w:val="00A02729"/>
    <w:rsid w:val="00A069A4"/>
    <w:rsid w:val="00A13BF5"/>
    <w:rsid w:val="00A16523"/>
    <w:rsid w:val="00A56E88"/>
    <w:rsid w:val="00A85744"/>
    <w:rsid w:val="00A902A1"/>
    <w:rsid w:val="00A9108D"/>
    <w:rsid w:val="00B1537E"/>
    <w:rsid w:val="00B215CB"/>
    <w:rsid w:val="00B413E2"/>
    <w:rsid w:val="00B453A1"/>
    <w:rsid w:val="00B463B5"/>
    <w:rsid w:val="00B50A06"/>
    <w:rsid w:val="00B52905"/>
    <w:rsid w:val="00B73D79"/>
    <w:rsid w:val="00B77692"/>
    <w:rsid w:val="00B877A7"/>
    <w:rsid w:val="00BA49C5"/>
    <w:rsid w:val="00BB7C6A"/>
    <w:rsid w:val="00BC09F0"/>
    <w:rsid w:val="00BC1597"/>
    <w:rsid w:val="00BC4DFD"/>
    <w:rsid w:val="00BD16DF"/>
    <w:rsid w:val="00BD31CE"/>
    <w:rsid w:val="00BD6B69"/>
    <w:rsid w:val="00BE1CB6"/>
    <w:rsid w:val="00BE32C1"/>
    <w:rsid w:val="00BF3C6A"/>
    <w:rsid w:val="00C0459B"/>
    <w:rsid w:val="00C21F86"/>
    <w:rsid w:val="00C268BF"/>
    <w:rsid w:val="00C4561F"/>
    <w:rsid w:val="00C46436"/>
    <w:rsid w:val="00C648EC"/>
    <w:rsid w:val="00C86F25"/>
    <w:rsid w:val="00C97B4C"/>
    <w:rsid w:val="00CA183E"/>
    <w:rsid w:val="00CA22E3"/>
    <w:rsid w:val="00CA429E"/>
    <w:rsid w:val="00CB0F39"/>
    <w:rsid w:val="00CC0067"/>
    <w:rsid w:val="00CC4C67"/>
    <w:rsid w:val="00CC4CC7"/>
    <w:rsid w:val="00CD6791"/>
    <w:rsid w:val="00CE0C0F"/>
    <w:rsid w:val="00D10CC5"/>
    <w:rsid w:val="00D23AB1"/>
    <w:rsid w:val="00D66594"/>
    <w:rsid w:val="00D819A7"/>
    <w:rsid w:val="00D86AB1"/>
    <w:rsid w:val="00DA2B9B"/>
    <w:rsid w:val="00E07D4F"/>
    <w:rsid w:val="00E32C3A"/>
    <w:rsid w:val="00E860C0"/>
    <w:rsid w:val="00E97DBC"/>
    <w:rsid w:val="00EA6960"/>
    <w:rsid w:val="00EB5D2F"/>
    <w:rsid w:val="00EE7D76"/>
    <w:rsid w:val="00F35ABF"/>
    <w:rsid w:val="00F50AE1"/>
    <w:rsid w:val="00F71F9C"/>
    <w:rsid w:val="00F83135"/>
    <w:rsid w:val="00F85E40"/>
    <w:rsid w:val="00FA4ED5"/>
    <w:rsid w:val="00FA6A27"/>
    <w:rsid w:val="00FB6402"/>
    <w:rsid w:val="00FE4E96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887369"/>
  <w15:chartTrackingRefBased/>
  <w15:docId w15:val="{066232E7-8E69-455E-89BF-AC64209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61"/>
  </w:style>
  <w:style w:type="paragraph" w:styleId="Footer">
    <w:name w:val="footer"/>
    <w:basedOn w:val="Normal"/>
    <w:link w:val="Foot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61"/>
  </w:style>
  <w:style w:type="table" w:styleId="TableGrid">
    <w:name w:val="Table Grid"/>
    <w:basedOn w:val="TableNormal"/>
    <w:uiPriority w:val="39"/>
    <w:rsid w:val="00B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C6A"/>
    <w:rPr>
      <w:strike w:val="0"/>
      <w:dstrike w:val="0"/>
      <w:color w:val="3FBB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0CE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councillors/jim-ly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7C16-0FF8-410E-816E-8E691819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Openshaw, Eilidh</dc:creator>
  <cp:keywords/>
  <dc:description/>
  <cp:lastModifiedBy>McMillan, Diane</cp:lastModifiedBy>
  <cp:revision>7</cp:revision>
  <cp:lastPrinted>2019-11-21T14:53:00Z</cp:lastPrinted>
  <dcterms:created xsi:type="dcterms:W3CDTF">2022-05-04T15:04:00Z</dcterms:created>
  <dcterms:modified xsi:type="dcterms:W3CDTF">2024-03-13T11:09:00Z</dcterms:modified>
</cp:coreProperties>
</file>