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C1A5F" w14:textId="77777777" w:rsidR="00AD15CD" w:rsidRDefault="00AD15CD" w:rsidP="00AD15CD">
      <w:pPr>
        <w:keepNext/>
        <w:spacing w:after="0"/>
        <w:jc w:val="center"/>
        <w:rPr>
          <w:b/>
          <w:color w:val="1B365D"/>
          <w:sz w:val="36"/>
        </w:rPr>
      </w:pPr>
      <w:r>
        <w:rPr>
          <w:b/>
          <w:color w:val="1B365D"/>
          <w:sz w:val="36"/>
        </w:rPr>
        <w:t xml:space="preserve">2026 </w:t>
      </w:r>
      <w:r w:rsidRPr="00AD15CD">
        <w:rPr>
          <w:b/>
          <w:color w:val="1B365D"/>
          <w:sz w:val="36"/>
        </w:rPr>
        <w:t>Summer of Sport</w:t>
      </w:r>
    </w:p>
    <w:p w14:paraId="6271D5A3" w14:textId="468DEDE4" w:rsidR="00AD15CD" w:rsidRDefault="00AD15CD" w:rsidP="00AD15CD">
      <w:pPr>
        <w:keepNext/>
        <w:spacing w:after="0"/>
        <w:jc w:val="center"/>
        <w:rPr>
          <w:b/>
          <w:color w:val="1B365D"/>
          <w:sz w:val="36"/>
        </w:rPr>
      </w:pPr>
      <w:r w:rsidRPr="00AD15CD">
        <w:rPr>
          <w:b/>
          <w:color w:val="1B365D"/>
          <w:sz w:val="36"/>
        </w:rPr>
        <w:t>Micro-Grant Fund</w:t>
      </w:r>
      <w:r>
        <w:rPr>
          <w:b/>
          <w:color w:val="1B365D"/>
          <w:sz w:val="36"/>
        </w:rPr>
        <w:t xml:space="preserve"> </w:t>
      </w:r>
      <w:r w:rsidRPr="00AD15CD">
        <w:rPr>
          <w:b/>
          <w:color w:val="1B365D"/>
          <w:sz w:val="36"/>
        </w:rPr>
        <w:t>Guidance</w:t>
      </w:r>
    </w:p>
    <w:p w14:paraId="55C9C66E" w14:textId="75914E32" w:rsidR="00055947" w:rsidRDefault="005218C2">
      <w:pPr>
        <w:keepNext/>
        <w:spacing w:before="480" w:after="240"/>
      </w:pPr>
      <w:r>
        <w:rPr>
          <w:b/>
          <w:color w:val="1B365D"/>
          <w:sz w:val="36"/>
        </w:rPr>
        <w:t>GUIDANCE NOTES FOR APPLICANTS</w:t>
      </w:r>
    </w:p>
    <w:p w14:paraId="38CE3FAE" w14:textId="77777777" w:rsidR="00055947" w:rsidRDefault="005218C2">
      <w:r>
        <w:t xml:space="preserve">The liveArgyll Summer of Sport Fund supports local sports clubs, community groups, and charities to deliver activities aligned with the Scottish Government’s national Summer of Sport 2026 initiative. The </w:t>
      </w:r>
      <w:proofErr w:type="spellStart"/>
      <w:r>
        <w:t>programme</w:t>
      </w:r>
      <w:proofErr w:type="spellEnd"/>
      <w:r>
        <w:t xml:space="preserve"> aims to provide opportunities for children and young people (aged 3 to 26) to get active, stay active, and improve their physical and mental wellbeing.</w:t>
      </w:r>
    </w:p>
    <w:p w14:paraId="5B6DC842" w14:textId="77777777" w:rsidR="00055947" w:rsidRDefault="005218C2">
      <w:pPr>
        <w:keepNext/>
        <w:spacing w:before="240"/>
      </w:pPr>
      <w:r>
        <w:rPr>
          <w:b/>
          <w:color w:val="1B365D"/>
          <w:sz w:val="28"/>
        </w:rPr>
        <w:t>1. Key Information</w:t>
      </w:r>
    </w:p>
    <w:p w14:paraId="1DA861D9" w14:textId="428E2DE1" w:rsidR="00055947" w:rsidRDefault="005218C2">
      <w:r>
        <w:rPr>
          <w:b/>
        </w:rPr>
        <w:t xml:space="preserve">• Maximum Grant Award: </w:t>
      </w:r>
      <w:r w:rsidR="00D86858" w:rsidRPr="00D86858">
        <w:rPr>
          <w:bCs/>
        </w:rPr>
        <w:t xml:space="preserve">Up to </w:t>
      </w:r>
      <w:r w:rsidRPr="00D86858">
        <w:rPr>
          <w:bCs/>
        </w:rPr>
        <w:t>£750</w:t>
      </w:r>
      <w:r>
        <w:t xml:space="preserve"> per application.</w:t>
      </w:r>
      <w:r>
        <w:br/>
      </w:r>
      <w:r>
        <w:rPr>
          <w:b/>
        </w:rPr>
        <w:t xml:space="preserve">• Delivery Period: </w:t>
      </w:r>
      <w:r>
        <w:t>Activities must commence from June 2026, span across the summer period (including the Commonwealth Games)</w:t>
      </w:r>
      <w:r w:rsidR="00D86858">
        <w:t>.</w:t>
      </w:r>
      <w:r>
        <w:br/>
      </w:r>
      <w:r>
        <w:rPr>
          <w:b/>
        </w:rPr>
        <w:t xml:space="preserve">• Core Access Requirement: </w:t>
      </w:r>
      <w:r>
        <w:t>All activities funded by this grant must be completely FREE or offered at a significantly reduced cost to remove barriers to participation.</w:t>
      </w:r>
    </w:p>
    <w:p w14:paraId="5FBE7B73" w14:textId="77777777" w:rsidR="00055947" w:rsidRDefault="005218C2">
      <w:pPr>
        <w:keepNext/>
        <w:spacing w:before="240"/>
      </w:pPr>
      <w:r>
        <w:rPr>
          <w:b/>
          <w:color w:val="1B365D"/>
          <w:sz w:val="28"/>
        </w:rPr>
        <w:t>2. Who Can Apply?</w:t>
      </w:r>
    </w:p>
    <w:p w14:paraId="2992DEC5" w14:textId="32AFC772" w:rsidR="00055947" w:rsidRDefault="005218C2">
      <w:r>
        <w:t>• Local community-based sports clubs (operating inside or outside liveArgyll leisure facilities).</w:t>
      </w:r>
      <w:r>
        <w:br/>
        <w:t xml:space="preserve">• Local community groups, voluntary </w:t>
      </w:r>
      <w:proofErr w:type="spellStart"/>
      <w:r>
        <w:t>organi</w:t>
      </w:r>
      <w:r w:rsidR="00D86858">
        <w:t>s</w:t>
      </w:r>
      <w:r>
        <w:t>ations</w:t>
      </w:r>
      <w:proofErr w:type="spellEnd"/>
      <w:r>
        <w:t>, and third-sector groups.</w:t>
      </w:r>
      <w:r>
        <w:br/>
        <w:t>• Registered charities delivering physical activity or sports programs within the liveArgyll service area.</w:t>
      </w:r>
    </w:p>
    <w:p w14:paraId="0278E5F1" w14:textId="77777777" w:rsidR="00055947" w:rsidRDefault="005218C2">
      <w:pPr>
        <w:keepNext/>
        <w:spacing w:before="240"/>
      </w:pPr>
      <w:r>
        <w:rPr>
          <w:b/>
          <w:color w:val="1B365D"/>
          <w:sz w:val="28"/>
        </w:rPr>
        <w:t>3. Funding Priorities &amp; Target Groups</w:t>
      </w:r>
    </w:p>
    <w:p w14:paraId="7319EEC4" w14:textId="77777777" w:rsidR="00055947" w:rsidRDefault="005218C2">
      <w:r>
        <w:t>While the funded project or activity may be universal (open to all children and young people aged 3–26), the fund explicitly prioritizes and targets projects designed to reach and engage individuals most at risk of living in poverty. Applications must actively demonstrate outreach tailored to one or more of the following family types:</w:t>
      </w:r>
    </w:p>
    <w:p w14:paraId="44E9D974" w14:textId="77777777" w:rsidR="00055947" w:rsidRDefault="005218C2">
      <w:r>
        <w:t xml:space="preserve">  □  Lone parent families</w:t>
      </w:r>
      <w:r>
        <w:br/>
        <w:t xml:space="preserve">  □  Families with a disabled adult or child</w:t>
      </w:r>
      <w:r>
        <w:br/>
        <w:t xml:space="preserve">  □  Families with three or more children</w:t>
      </w:r>
      <w:r>
        <w:br/>
        <w:t xml:space="preserve">  □  Minority ethnic families</w:t>
      </w:r>
      <w:r>
        <w:br/>
        <w:t xml:space="preserve">  □  Families with a mother aged 25 and under</w:t>
      </w:r>
      <w:r>
        <w:br/>
        <w:t xml:space="preserve">  □  Families with a child under one year old</w:t>
      </w:r>
      <w:r>
        <w:br/>
        <w:t xml:space="preserve">  □  Young Carers</w:t>
      </w:r>
      <w:r>
        <w:br/>
        <w:t xml:space="preserve">  □  Looked after and accommodated children and young people</w:t>
      </w:r>
      <w:r>
        <w:br/>
      </w:r>
    </w:p>
    <w:p w14:paraId="5A481879" w14:textId="77777777" w:rsidR="00055947" w:rsidRDefault="005218C2">
      <w:pPr>
        <w:keepNext/>
        <w:spacing w:before="240"/>
      </w:pPr>
      <w:r>
        <w:rPr>
          <w:b/>
          <w:color w:val="1B365D"/>
          <w:sz w:val="28"/>
        </w:rPr>
        <w:lastRenderedPageBreak/>
        <w:t>4. Eligible Expenditures</w:t>
      </w:r>
    </w:p>
    <w:p w14:paraId="1ADFB1ED" w14:textId="77777777" w:rsidR="00055947" w:rsidRDefault="005218C2">
      <w:r>
        <w:t>Grant funding can be flexibly utilized to cover core delivery and barrier-reduction costs, including:</w:t>
      </w:r>
    </w:p>
    <w:p w14:paraId="12B98E04" w14:textId="77777777" w:rsidR="00055947" w:rsidRDefault="005218C2">
      <w:r>
        <w:t>• Free holiday-time sports sessions, multi-sport camps, festivals, or taster events.</w:t>
      </w:r>
      <w:r>
        <w:br/>
        <w:t>• Post-summer block sessions that establish a clear bridge/pathway into sustained club membership.</w:t>
      </w:r>
      <w:r>
        <w:br/>
        <w:t>• Transport or travel costs for participants from low-income families or highly rural/remote communities.</w:t>
      </w:r>
      <w:r>
        <w:br/>
        <w:t>• Inclusion uplifts (e.g., adaptive equipment, facility hire, or 1-to-1 helper support for disabled participants).</w:t>
      </w:r>
      <w:r>
        <w:br/>
        <w:t>• Workforce costs, including sessional coaching fees, volunteer expenses, and PVG application fees.</w:t>
      </w:r>
      <w:r>
        <w:br/>
        <w:t>• Inclusive training for young leaders or coaches (e.g., trauma-informed practice, disability inclusion).</w:t>
      </w:r>
    </w:p>
    <w:p w14:paraId="7389FCC7" w14:textId="77777777" w:rsidR="00055947" w:rsidRDefault="005218C2">
      <w:pPr>
        <w:keepNext/>
        <w:spacing w:before="240"/>
      </w:pPr>
      <w:r>
        <w:rPr>
          <w:b/>
          <w:color w:val="1B365D"/>
          <w:sz w:val="28"/>
        </w:rPr>
        <w:t>5. Monitoring &amp; Marketing Obligations</w:t>
      </w:r>
    </w:p>
    <w:p w14:paraId="0FB34985" w14:textId="77777777" w:rsidR="00055947" w:rsidRDefault="005218C2">
      <w:r>
        <w:t>Successful applicants must agree to use the national Summer of Sport campaign toolkit and marketing materials for all project promotions to ensure consistent branding and fund attribution. At the conclusion of the project, recipients must provide simple delivery data to liveArgyll, including total sessions, attendee numbers, and an estimated breakdown of target priority groups engaged.</w:t>
      </w:r>
    </w:p>
    <w:p w14:paraId="11F6D388" w14:textId="77777777" w:rsidR="005218C2" w:rsidRDefault="005218C2"/>
    <w:p w14:paraId="5D2790B8" w14:textId="137ED5CD" w:rsidR="00055947" w:rsidRDefault="00055947"/>
    <w:sectPr w:rsidR="00055947" w:rsidSect="00034616">
      <w:headerReference w:type="even" r:id="rId8"/>
      <w:head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C3AC2" w14:textId="77777777" w:rsidR="00426FDF" w:rsidRDefault="00426FDF" w:rsidP="00E746BE">
      <w:pPr>
        <w:spacing w:after="0" w:line="240" w:lineRule="auto"/>
      </w:pPr>
      <w:r>
        <w:separator/>
      </w:r>
    </w:p>
  </w:endnote>
  <w:endnote w:type="continuationSeparator" w:id="0">
    <w:p w14:paraId="304AA1C0" w14:textId="77777777" w:rsidR="00426FDF" w:rsidRDefault="00426FDF" w:rsidP="00E746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2E5CB" w14:textId="77777777" w:rsidR="00426FDF" w:rsidRDefault="00426FDF" w:rsidP="00E746BE">
      <w:pPr>
        <w:spacing w:after="0" w:line="240" w:lineRule="auto"/>
      </w:pPr>
      <w:r>
        <w:separator/>
      </w:r>
    </w:p>
  </w:footnote>
  <w:footnote w:type="continuationSeparator" w:id="0">
    <w:p w14:paraId="04607CF0" w14:textId="77777777" w:rsidR="00426FDF" w:rsidRDefault="00426FDF" w:rsidP="00E746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4316A" w14:textId="24CE1B5B" w:rsidR="00E746BE" w:rsidRDefault="00E746BE">
    <w:pPr>
      <w:pStyle w:val="Header"/>
    </w:pPr>
    <w:r>
      <w:rPr>
        <w:noProof/>
      </w:rPr>
      <mc:AlternateContent>
        <mc:Choice Requires="wps">
          <w:drawing>
            <wp:anchor distT="0" distB="0" distL="0" distR="0" simplePos="0" relativeHeight="251658240" behindDoc="0" locked="0" layoutInCell="1" allowOverlap="1" wp14:anchorId="11FC4036" wp14:editId="506F8137">
              <wp:simplePos x="635" y="635"/>
              <wp:positionH relativeFrom="page">
                <wp:align>left</wp:align>
              </wp:positionH>
              <wp:positionV relativeFrom="page">
                <wp:align>top</wp:align>
              </wp:positionV>
              <wp:extent cx="1725295" cy="386715"/>
              <wp:effectExtent l="0" t="0" r="8255" b="13335"/>
              <wp:wrapNone/>
              <wp:docPr id="1106865379" name="Text Box 2"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25295" cy="386715"/>
                      </a:xfrm>
                      <a:prstGeom prst="rect">
                        <a:avLst/>
                      </a:prstGeom>
                      <a:noFill/>
                      <a:ln>
                        <a:noFill/>
                      </a:ln>
                    </wps:spPr>
                    <wps:txbx>
                      <w:txbxContent>
                        <w:p w14:paraId="1F778777" w14:textId="479491E8" w:rsidR="00E746BE" w:rsidRPr="00E746BE" w:rsidRDefault="00E746BE" w:rsidP="00E746BE">
                          <w:pPr>
                            <w:spacing w:after="0"/>
                            <w:rPr>
                              <w:rFonts w:ascii="Aptos" w:eastAsia="Aptos" w:hAnsi="Aptos" w:cs="Aptos"/>
                              <w:noProof/>
                              <w:color w:val="0000FF"/>
                              <w:sz w:val="22"/>
                            </w:rPr>
                          </w:pPr>
                          <w:r w:rsidRPr="00E746BE">
                            <w:rPr>
                              <w:rFonts w:ascii="Aptos" w:eastAsia="Aptos" w:hAnsi="Aptos" w:cs="Aptos"/>
                              <w:noProof/>
                              <w:color w:val="0000FF"/>
                              <w:sz w:val="22"/>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1FC4036" id="_x0000_t202" coordsize="21600,21600" o:spt="202" path="m,l,21600r21600,l21600,xe">
              <v:stroke joinstyle="miter"/>
              <v:path gradientshapeok="t" o:connecttype="rect"/>
            </v:shapetype>
            <v:shape id="Text Box 2" o:spid="_x0000_s1026" type="#_x0000_t202" alt="Classification: OFFICIAL" style="position:absolute;margin-left:0;margin-top:0;width:135.85pt;height:30.4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" filled="f" stroked="f">
              <v:textbox style="mso-fit-shape-to-text:t" inset="20pt,15pt,0,0">
                <w:txbxContent>
                  <w:p w14:paraId="1F778777" w14:textId="479491E8" w:rsidR="00E746BE" w:rsidRPr="00E746BE" w:rsidRDefault="00E746BE" w:rsidP="00E746BE">
                    <w:pPr>
                      <w:spacing w:after="0"/>
                      <w:rPr>
                        <w:rFonts w:ascii="Aptos" w:eastAsia="Aptos" w:hAnsi="Aptos" w:cs="Aptos"/>
                        <w:noProof/>
                        <w:color w:val="0000FF"/>
                        <w:sz w:val="22"/>
                      </w:rPr>
                    </w:pPr>
                    <w:r w:rsidRPr="00E746BE">
                      <w:rPr>
                        <w:rFonts w:ascii="Aptos" w:eastAsia="Aptos" w:hAnsi="Aptos" w:cs="Aptos"/>
                        <w:noProof/>
                        <w:color w:val="0000FF"/>
                        <w:sz w:val="22"/>
                      </w:rPr>
                      <w:t>Classification: 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0593A" w14:textId="77777777" w:rsidR="00AD15CD" w:rsidRDefault="00467BDA">
    <w:pPr>
      <w:pStyle w:val="Header"/>
    </w:pPr>
    <w:r>
      <w:rPr>
        <w:noProof/>
      </w:rPr>
      <w:drawing>
        <wp:inline distT="0" distB="0" distL="0" distR="0" wp14:anchorId="279C814D" wp14:editId="39D78DEA">
          <wp:extent cx="1145894" cy="740179"/>
          <wp:effectExtent l="0" t="0" r="0" b="3175"/>
          <wp:docPr id="135629371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293715" name="Picture 1356293715"/>
                  <pic:cNvPicPr/>
                </pic:nvPicPr>
                <pic:blipFill>
                  <a:blip r:embed="rId1"/>
                  <a:stretch>
                    <a:fillRect/>
                  </a:stretch>
                </pic:blipFill>
                <pic:spPr>
                  <a:xfrm>
                    <a:off x="0" y="0"/>
                    <a:ext cx="1159533" cy="748989"/>
                  </a:xfrm>
                  <a:prstGeom prst="rect">
                    <a:avLst/>
                  </a:prstGeom>
                </pic:spPr>
              </pic:pic>
            </a:graphicData>
          </a:graphic>
        </wp:inline>
      </w:drawing>
    </w:r>
  </w:p>
  <w:p w14:paraId="7EBC90E2" w14:textId="71EA9D45" w:rsidR="00E746BE" w:rsidRDefault="00E746BE">
    <w:pPr>
      <w:pStyle w:val="Header"/>
    </w:pPr>
    <w:r>
      <w:rPr>
        <w:noProof/>
      </w:rPr>
      <mc:AlternateContent>
        <mc:Choice Requires="wps">
          <w:drawing>
            <wp:anchor distT="0" distB="0" distL="0" distR="0" simplePos="0" relativeHeight="251658241" behindDoc="0" locked="0" layoutInCell="1" allowOverlap="1" wp14:anchorId="28BABD15" wp14:editId="41EB7722">
              <wp:simplePos x="635" y="635"/>
              <wp:positionH relativeFrom="page">
                <wp:align>left</wp:align>
              </wp:positionH>
              <wp:positionV relativeFrom="page">
                <wp:align>top</wp:align>
              </wp:positionV>
              <wp:extent cx="1725295" cy="386715"/>
              <wp:effectExtent l="0" t="0" r="8255" b="13335"/>
              <wp:wrapNone/>
              <wp:docPr id="331878675" name="Text Box 3"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25295" cy="386715"/>
                      </a:xfrm>
                      <a:prstGeom prst="rect">
                        <a:avLst/>
                      </a:prstGeom>
                      <a:noFill/>
                      <a:ln>
                        <a:noFill/>
                      </a:ln>
                    </wps:spPr>
                    <wps:txbx>
                      <w:txbxContent>
                        <w:p w14:paraId="6A489897" w14:textId="7E12B670" w:rsidR="00E746BE" w:rsidRPr="00E746BE" w:rsidRDefault="00E746BE" w:rsidP="00E746BE">
                          <w:pPr>
                            <w:spacing w:after="0"/>
                            <w:rPr>
                              <w:rFonts w:ascii="Aptos" w:eastAsia="Aptos" w:hAnsi="Aptos" w:cs="Aptos"/>
                              <w:noProof/>
                              <w:color w:val="0000FF"/>
                              <w:sz w:val="22"/>
                            </w:rPr>
                          </w:pPr>
                          <w:r w:rsidRPr="00E746BE">
                            <w:rPr>
                              <w:rFonts w:ascii="Aptos" w:eastAsia="Aptos" w:hAnsi="Aptos" w:cs="Aptos"/>
                              <w:noProof/>
                              <w:color w:val="0000FF"/>
                              <w:sz w:val="22"/>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8BABD15" id="_x0000_t202" coordsize="21600,21600" o:spt="202" path="m,l,21600r21600,l21600,xe">
              <v:stroke joinstyle="miter"/>
              <v:path gradientshapeok="t" o:connecttype="rect"/>
            </v:shapetype>
            <v:shape id="Text Box 3" o:spid="_x0000_s1027" type="#_x0000_t202" alt="Classification: OFFICIAL" style="position:absolute;margin-left:0;margin-top:0;width:135.85pt;height:30.45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" filled="f" stroked="f">
              <v:textbox style="mso-fit-shape-to-text:t" inset="20pt,15pt,0,0">
                <w:txbxContent>
                  <w:p w14:paraId="6A489897" w14:textId="7E12B670" w:rsidR="00E746BE" w:rsidRPr="00E746BE" w:rsidRDefault="00E746BE" w:rsidP="00E746BE">
                    <w:pPr>
                      <w:spacing w:after="0"/>
                      <w:rPr>
                        <w:rFonts w:ascii="Aptos" w:eastAsia="Aptos" w:hAnsi="Aptos" w:cs="Aptos"/>
                        <w:noProof/>
                        <w:color w:val="0000FF"/>
                        <w:sz w:val="22"/>
                      </w:rPr>
                    </w:pPr>
                    <w:r w:rsidRPr="00E746BE">
                      <w:rPr>
                        <w:rFonts w:ascii="Aptos" w:eastAsia="Aptos" w:hAnsi="Aptos" w:cs="Aptos"/>
                        <w:noProof/>
                        <w:color w:val="0000FF"/>
                        <w:sz w:val="22"/>
                      </w:rPr>
                      <w:t>Classification: 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51A81" w14:textId="6F32F600" w:rsidR="00E746BE" w:rsidRDefault="00E746BE">
    <w:pPr>
      <w:pStyle w:val="Header"/>
    </w:pPr>
    <w:r>
      <w:rPr>
        <w:noProof/>
      </w:rPr>
      <mc:AlternateContent>
        <mc:Choice Requires="wps">
          <w:drawing>
            <wp:anchor distT="0" distB="0" distL="0" distR="0" simplePos="0" relativeHeight="251658242" behindDoc="0" locked="0" layoutInCell="1" allowOverlap="1" wp14:anchorId="11144960" wp14:editId="60682EAC">
              <wp:simplePos x="635" y="635"/>
              <wp:positionH relativeFrom="page">
                <wp:align>left</wp:align>
              </wp:positionH>
              <wp:positionV relativeFrom="page">
                <wp:align>top</wp:align>
              </wp:positionV>
              <wp:extent cx="1725295" cy="386715"/>
              <wp:effectExtent l="0" t="0" r="8255" b="13335"/>
              <wp:wrapNone/>
              <wp:docPr id="1594747764" name="Text Box 1"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25295" cy="386715"/>
                      </a:xfrm>
                      <a:prstGeom prst="rect">
                        <a:avLst/>
                      </a:prstGeom>
                      <a:noFill/>
                      <a:ln>
                        <a:noFill/>
                      </a:ln>
                    </wps:spPr>
                    <wps:txbx>
                      <w:txbxContent>
                        <w:p w14:paraId="036F0424" w14:textId="54FE92C6" w:rsidR="00E746BE" w:rsidRPr="00E746BE" w:rsidRDefault="00E746BE" w:rsidP="00E746BE">
                          <w:pPr>
                            <w:spacing w:after="0"/>
                            <w:rPr>
                              <w:rFonts w:ascii="Aptos" w:eastAsia="Aptos" w:hAnsi="Aptos" w:cs="Aptos"/>
                              <w:noProof/>
                              <w:color w:val="0000FF"/>
                              <w:sz w:val="22"/>
                            </w:rPr>
                          </w:pPr>
                          <w:r w:rsidRPr="00E746BE">
                            <w:rPr>
                              <w:rFonts w:ascii="Aptos" w:eastAsia="Aptos" w:hAnsi="Aptos" w:cs="Aptos"/>
                              <w:noProof/>
                              <w:color w:val="0000FF"/>
                              <w:sz w:val="22"/>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1144960" id="_x0000_t202" coordsize="21600,21600" o:spt="202" path="m,l,21600r21600,l21600,xe">
              <v:stroke joinstyle="miter"/>
              <v:path gradientshapeok="t" o:connecttype="rect"/>
            </v:shapetype>
            <v:shape id="Text Box 1" o:spid="_x0000_s1028" type="#_x0000_t202" alt="Classification: OFFICIAL" style="position:absolute;margin-left:0;margin-top:0;width:135.85pt;height:30.45pt;z-index:25165824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" filled="f" stroked="f">
              <v:textbox style="mso-fit-shape-to-text:t" inset="20pt,15pt,0,0">
                <w:txbxContent>
                  <w:p w14:paraId="036F0424" w14:textId="54FE92C6" w:rsidR="00E746BE" w:rsidRPr="00E746BE" w:rsidRDefault="00E746BE" w:rsidP="00E746BE">
                    <w:pPr>
                      <w:spacing w:after="0"/>
                      <w:rPr>
                        <w:rFonts w:ascii="Aptos" w:eastAsia="Aptos" w:hAnsi="Aptos" w:cs="Aptos"/>
                        <w:noProof/>
                        <w:color w:val="0000FF"/>
                        <w:sz w:val="22"/>
                      </w:rPr>
                    </w:pPr>
                    <w:r w:rsidRPr="00E746BE">
                      <w:rPr>
                        <w:rFonts w:ascii="Aptos" w:eastAsia="Aptos" w:hAnsi="Aptos" w:cs="Aptos"/>
                        <w:noProof/>
                        <w:color w:val="0000FF"/>
                        <w:sz w:val="22"/>
                      </w:rPr>
                      <w:t>Classification: 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52582696">
    <w:abstractNumId w:val="8"/>
  </w:num>
  <w:num w:numId="2" w16cid:durableId="108134795">
    <w:abstractNumId w:val="6"/>
  </w:num>
  <w:num w:numId="3" w16cid:durableId="1907183212">
    <w:abstractNumId w:val="5"/>
  </w:num>
  <w:num w:numId="4" w16cid:durableId="1423718420">
    <w:abstractNumId w:val="4"/>
  </w:num>
  <w:num w:numId="5" w16cid:durableId="1158031708">
    <w:abstractNumId w:val="7"/>
  </w:num>
  <w:num w:numId="6" w16cid:durableId="1604878034">
    <w:abstractNumId w:val="3"/>
  </w:num>
  <w:num w:numId="7" w16cid:durableId="1324311321">
    <w:abstractNumId w:val="2"/>
  </w:num>
  <w:num w:numId="8" w16cid:durableId="141507605">
    <w:abstractNumId w:val="1"/>
  </w:num>
  <w:num w:numId="9" w16cid:durableId="13474374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5947"/>
    <w:rsid w:val="0006063C"/>
    <w:rsid w:val="000820F9"/>
    <w:rsid w:val="0015074B"/>
    <w:rsid w:val="0029639D"/>
    <w:rsid w:val="00326F90"/>
    <w:rsid w:val="00426FDF"/>
    <w:rsid w:val="00467BDA"/>
    <w:rsid w:val="005218C2"/>
    <w:rsid w:val="00A5672F"/>
    <w:rsid w:val="00AA1D8D"/>
    <w:rsid w:val="00AD15CD"/>
    <w:rsid w:val="00AF0145"/>
    <w:rsid w:val="00B47730"/>
    <w:rsid w:val="00CB0664"/>
    <w:rsid w:val="00D86858"/>
    <w:rsid w:val="00D96B27"/>
    <w:rsid w:val="00E54EE2"/>
    <w:rsid w:val="00E746B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062061"/>
  <w14:defaultImageDpi w14:val="300"/>
  <w15:docId w15:val="{40B938AC-61F9-42C6-A9FF-21453BE41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120"/>
    </w:pPr>
    <w:rPr>
      <w:rFonts w:ascii="Arial" w:hAnsi="Arial"/>
      <w:color w:val="333333"/>
      <w:sz w:val="21"/>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ind w:left="360"/>
      <w:contextualSpacing/>
    </w:pPr>
  </w:style>
  <w:style w:type="paragraph" w:styleId="ListContinue2">
    <w:name w:val="List Continue 2"/>
    <w:basedOn w:val="Normal"/>
    <w:uiPriority w:val="99"/>
    <w:unhideWhenUsed/>
    <w:rsid w:val="0029639D"/>
    <w:pPr>
      <w:ind w:left="720"/>
      <w:contextualSpacing/>
    </w:pPr>
  </w:style>
  <w:style w:type="paragraph" w:styleId="ListContinue3">
    <w:name w:val="List Continue 3"/>
    <w:basedOn w:val="Normal"/>
    <w:uiPriority w:val="99"/>
    <w:unhideWhenUsed/>
    <w:rsid w:val="0029639D"/>
    <w:pPr>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442</Words>
  <Characters>2520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Carruthers, Rachel</cp:lastModifiedBy>
  <cp:revision>2</cp:revision>
  <dcterms:created xsi:type="dcterms:W3CDTF">2026-05-29T11:56:00Z</dcterms:created>
  <dcterms:modified xsi:type="dcterms:W3CDTF">2026-05-29T11:56:00Z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5f0deb74,41f96ce3,13c81113</vt:lpwstr>
  </property>
  <property fmtid="{D5CDD505-2E9C-101B-9397-08002B2CF9AE}" pid="3" name="ClassificationContentMarkingHeaderFontProps">
    <vt:lpwstr>#0000ff,11,Aptos</vt:lpwstr>
  </property>
  <property fmtid="{D5CDD505-2E9C-101B-9397-08002B2CF9AE}" pid="4" name="ClassificationContentMarkingHeaderText">
    <vt:lpwstr>Classification: OFFICIAL</vt:lpwstr>
  </property>
  <property fmtid="{D5CDD505-2E9C-101B-9397-08002B2CF9AE}" pid="5" name="MSIP_Label_173be490-3b68-4c2d-a5fc-d62b22a31ada_Enabled">
    <vt:lpwstr>true</vt:lpwstr>
  </property>
  <property fmtid="{D5CDD505-2E9C-101B-9397-08002B2CF9AE}" pid="6" name="MSIP_Label_173be490-3b68-4c2d-a5fc-d62b22a31ada_SetDate">
    <vt:lpwstr>2026-05-28T22:03:51Z</vt:lpwstr>
  </property>
  <property fmtid="{D5CDD505-2E9C-101B-9397-08002B2CF9AE}" pid="7" name="MSIP_Label_173be490-3b68-4c2d-a5fc-d62b22a31ada_Method">
    <vt:lpwstr>Standard</vt:lpwstr>
  </property>
  <property fmtid="{D5CDD505-2E9C-101B-9397-08002B2CF9AE}" pid="8" name="MSIP_Label_173be490-3b68-4c2d-a5fc-d62b22a31ada_Name">
    <vt:lpwstr>Email Classification - OFFICIAL</vt:lpwstr>
  </property>
  <property fmtid="{D5CDD505-2E9C-101B-9397-08002B2CF9AE}" pid="9" name="MSIP_Label_173be490-3b68-4c2d-a5fc-d62b22a31ada_SiteId">
    <vt:lpwstr>8a444059-4d8c-4970-b42c-299f9c3910e0</vt:lpwstr>
  </property>
  <property fmtid="{D5CDD505-2E9C-101B-9397-08002B2CF9AE}" pid="10" name="MSIP_Label_173be490-3b68-4c2d-a5fc-d62b22a31ada_ActionId">
    <vt:lpwstr>b9248d5d-b35a-4dfd-90b5-f6765e492b2e</vt:lpwstr>
  </property>
  <property fmtid="{D5CDD505-2E9C-101B-9397-08002B2CF9AE}" pid="11" name="MSIP_Label_173be490-3b68-4c2d-a5fc-d62b22a31ada_ContentBits">
    <vt:lpwstr>1</vt:lpwstr>
  </property>
  <property fmtid="{D5CDD505-2E9C-101B-9397-08002B2CF9AE}" pid="12" name="MSIP_Label_173be490-3b68-4c2d-a5fc-d62b22a31ada_Tag">
    <vt:lpwstr>10, 3, 0, 1</vt:lpwstr>
  </property>
  <property fmtid="{D5CDD505-2E9C-101B-9397-08002B2CF9AE}" pid="13" name="GrammarlyDocumentId">
    <vt:lpwstr>39ca7ccd-2267-4419-8606-100b99a8e85e</vt:lpwstr>
  </property>
</Properties>
</file>